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16" w:vertAnchor="text" w:tblpY="-228" w:leftFromText="180" w:topFromText="0" w:rightFromText="180" w:bottomFromText="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27"/>
        <w:gridCol w:w="19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659"/>
              <w:ind w:right="-896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Номер ТЗ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1" w:type="dxa"/>
            <w:vAlign w:val="top"/>
            <w:textDirection w:val="lrTb"/>
            <w:noWrap w:val="false"/>
          </w:tcPr>
          <w:p>
            <w:pPr>
              <w:pStyle w:val="659"/>
              <w:ind w:right="-896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659"/>
              <w:ind w:right="-896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659"/>
              <w:ind w:right="-896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 xml:space="preserve">SAP</w:t>
            </w:r>
            <w:r>
              <w:rPr>
                <w:b/>
                <w:sz w:val="26"/>
                <w:szCs w:val="26"/>
              </w:rPr>
              <w:t xml:space="preserve">)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1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left"/>
              <w:widowControl w:val="off"/>
              <w:rPr>
                <w:b/>
                <w:color w:val="000000"/>
                <w:sz w:val="28"/>
                <w:szCs w:val="28"/>
              </w:rPr>
              <w:framePr w:hSpace="180" w:wrap="around" w:vAnchor="text" w:hAnchor="page" w:x="716" w:y="-228"/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8" w:type="dxa"/>
            <w:vAlign w:val="top"/>
            <w:textDirection w:val="lrTb"/>
            <w:noWrap w:val="false"/>
          </w:tcPr>
          <w:p>
            <w:pPr>
              <w:pStyle w:val="659"/>
              <w:ind w:right="-2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Предоставление национального режима в соответствии с ПП 1875 от 23.12.2024</w:t>
            </w:r>
            <w:r>
              <w:rPr>
                <w:b/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659"/>
              <w:ind w:right="-2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ОКПД 2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1" w:type="dxa"/>
            <w:vAlign w:val="top"/>
            <w:textDirection w:val="lrTb"/>
            <w:noWrap w:val="false"/>
          </w:tcPr>
          <w:p>
            <w:pPr>
              <w:pStyle w:val="659"/>
              <w:ind w:right="-2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27.11.62.110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659"/>
              <w:ind w:right="-2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Мера применения национального режима (запрет, ограничение, преимущество)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1" w:type="dxa"/>
            <w:vAlign w:val="top"/>
            <w:textDirection w:val="lrTb"/>
            <w:noWrap w:val="false"/>
          </w:tcPr>
          <w:p>
            <w:pPr>
              <w:pStyle w:val="659"/>
              <w:ind w:right="-2" w:firstLine="0"/>
              <w:jc w:val="left"/>
              <w:spacing w:line="276" w:lineRule="auto"/>
              <w:widowControl w:val="off"/>
              <w:tabs>
                <w:tab w:val="right" w:pos="10207" w:leader="none"/>
              </w:tabs>
              <w:rPr>
                <w:b/>
                <w:sz w:val="26"/>
                <w:szCs w:val="26"/>
              </w:rPr>
              <w:framePr w:hSpace="180" w:wrap="around" w:vAnchor="text" w:hAnchor="page" w:x="716" w:y="-228"/>
            </w:pPr>
            <w:r>
              <w:rPr>
                <w:b/>
                <w:sz w:val="26"/>
                <w:szCs w:val="26"/>
              </w:rPr>
              <w:t xml:space="preserve">преимущество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659"/>
        <w:ind w:right="-2" w:firstLine="0"/>
        <w:jc w:val="right"/>
        <w:spacing w:line="276" w:lineRule="auto"/>
        <w:tabs>
          <w:tab w:val="right" w:pos="10207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“УТВЕРЖДАЮ”</w:t>
      </w:r>
      <w:r>
        <w:rPr>
          <w:b/>
          <w:sz w:val="26"/>
          <w:szCs w:val="26"/>
        </w:rPr>
      </w:r>
    </w:p>
    <w:p>
      <w:pPr>
        <w:pStyle w:val="659"/>
        <w:ind w:right="-1" w:firstLine="0"/>
        <w:jc w:val="right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Заместитель генерального директора-</w:t>
      </w:r>
      <w:r>
        <w:rPr>
          <w:sz w:val="26"/>
          <w:szCs w:val="26"/>
        </w:rPr>
      </w:r>
    </w:p>
    <w:p>
      <w:pPr>
        <w:pStyle w:val="659"/>
        <w:ind w:right="-1" w:firstLine="0"/>
        <w:jc w:val="right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ООО» БрянскЭлектро»  </w:t>
      </w:r>
      <w:r>
        <w:rPr>
          <w:sz w:val="26"/>
          <w:szCs w:val="26"/>
        </w:rPr>
      </w:r>
    </w:p>
    <w:p>
      <w:pPr>
        <w:pStyle w:val="659"/>
        <w:ind w:right="-1" w:firstLine="0"/>
        <w:jc w:val="right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___________________________С.Л. Поляков</w:t>
      </w:r>
      <w:r>
        <w:rPr>
          <w:sz w:val="26"/>
          <w:szCs w:val="26"/>
        </w:rPr>
      </w:r>
    </w:p>
    <w:p>
      <w:pPr>
        <w:pStyle w:val="659"/>
        <w:ind w:right="5010" w:firstLine="0"/>
        <w:jc w:val="right"/>
        <w:spacing w:line="276" w:lineRule="auto"/>
        <w:tabs>
          <w:tab w:val="right" w:pos="5529" w:leader="none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</w:r>
      <w:r>
        <w:rPr>
          <w:sz w:val="26"/>
          <w:szCs w:val="26"/>
        </w:rPr>
        <w:t xml:space="preserve">«25» июня 2026 г.</w:t>
      </w:r>
      <w:r>
        <w:rPr>
          <w:caps/>
          <w:sz w:val="26"/>
          <w:szCs w:val="26"/>
        </w:rPr>
      </w:r>
      <w:r>
        <w:rPr>
          <w:caps/>
          <w:sz w:val="26"/>
          <w:szCs w:val="26"/>
        </w:rPr>
      </w:r>
      <w:r>
        <w:rPr>
          <w:sz w:val="26"/>
          <w:szCs w:val="26"/>
        </w:rPr>
      </w:r>
    </w:p>
    <w:p>
      <w:pPr>
        <w:pStyle w:val="659"/>
        <w:ind w:firstLine="0"/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9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9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9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9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61"/>
        <w:numPr>
          <w:ilvl w:val="0"/>
          <w:numId w:val="0"/>
        </w:numPr>
        <w:spacing w:after="120"/>
      </w:pPr>
      <w:r/>
      <w:r/>
    </w:p>
    <w:p>
      <w:pPr>
        <w:pStyle w:val="661"/>
        <w:numPr>
          <w:ilvl w:val="0"/>
          <w:numId w:val="0"/>
        </w:numPr>
        <w:spacing w:after="120"/>
      </w:pPr>
      <w:r/>
      <w:r/>
    </w:p>
    <w:p>
      <w:pPr>
        <w:pStyle w:val="661"/>
        <w:numPr>
          <w:ilvl w:val="0"/>
          <w:numId w:val="0"/>
        </w:numPr>
        <w:spacing w:after="120"/>
      </w:pPr>
      <w:r>
        <w:t xml:space="preserve">ТЕХНИЧЕСКОЕ ЗАДАНИЕ</w:t>
      </w:r>
      <w:r/>
    </w:p>
    <w:p>
      <w:pPr>
        <w:pStyle w:val="659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поставку </w:t>
      </w:r>
      <w:r>
        <w:rPr>
          <w:b/>
          <w:sz w:val="26"/>
          <w:szCs w:val="26"/>
        </w:rPr>
        <w:t xml:space="preserve">з</w:t>
      </w:r>
      <w:r>
        <w:rPr>
          <w:b/>
          <w:sz w:val="26"/>
          <w:szCs w:val="26"/>
        </w:rPr>
        <w:t xml:space="preserve">апчаст</w:t>
      </w:r>
      <w:r>
        <w:rPr>
          <w:b/>
          <w:sz w:val="26"/>
          <w:szCs w:val="26"/>
        </w:rPr>
        <w:t xml:space="preserve">ей</w:t>
      </w:r>
      <w:r>
        <w:rPr>
          <w:b/>
          <w:sz w:val="26"/>
          <w:szCs w:val="26"/>
        </w:rPr>
        <w:t xml:space="preserve"> к силовым трансформаторам, реакторам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59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Зажим контактный НН на трансформатор ТМГ 1600 кВА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</w:p>
    <w:p>
      <w:pPr>
        <w:pStyle w:val="659"/>
        <w:ind w:firstLine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</w:rPr>
        <w:t xml:space="preserve">401U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pStyle w:val="659"/>
        <w:numPr>
          <w:ilvl w:val="0"/>
          <w:numId w:val="11"/>
        </w:numPr>
        <w:contextualSpacing/>
        <w:ind w:left="0" w:firstLine="709"/>
        <w:jc w:val="left"/>
        <w:tabs>
          <w:tab w:val="left" w:pos="99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Общая часть.</w:t>
      </w:r>
      <w:r>
        <w:rPr>
          <w:b/>
          <w:bCs/>
          <w:sz w:val="24"/>
          <w:szCs w:val="24"/>
        </w:rPr>
      </w:r>
    </w:p>
    <w:p>
      <w:pPr>
        <w:pStyle w:val="659"/>
        <w:ind w:firstLine="709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ООО «БрянскЭлектро» (Покупатель) производит закупку </w:t>
      </w:r>
      <w:r>
        <w:rPr>
          <w:sz w:val="24"/>
          <w:szCs w:val="24"/>
        </w:rPr>
        <w:t xml:space="preserve">Зажимов контактных</w:t>
      </w:r>
      <w:r>
        <w:rPr>
          <w:sz w:val="24"/>
          <w:szCs w:val="24"/>
        </w:rPr>
        <w:t xml:space="preserve"> АШМ</w:t>
      </w:r>
      <w:r>
        <w:rPr>
          <w:sz w:val="24"/>
          <w:szCs w:val="24"/>
        </w:rPr>
        <w:t xml:space="preserve"> НН </w:t>
      </w:r>
      <w:r>
        <w:rPr>
          <w:sz w:val="24"/>
          <w:szCs w:val="24"/>
        </w:rPr>
        <w:t xml:space="preserve">силовых трансформаторов </w:t>
      </w:r>
      <w:r>
        <w:rPr>
          <w:sz w:val="24"/>
          <w:szCs w:val="24"/>
        </w:rPr>
        <w:t xml:space="preserve">ТМГ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600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для исполнения </w:t>
      </w:r>
      <w:r>
        <w:rPr>
          <w:sz w:val="24"/>
          <w:szCs w:val="24"/>
        </w:rPr>
        <w:t xml:space="preserve">договора технологического присоединения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659"/>
        <w:numPr>
          <w:ilvl w:val="0"/>
          <w:numId w:val="11"/>
        </w:numPr>
        <w:contextualSpacing/>
        <w:ind w:left="0" w:firstLine="709"/>
        <w:jc w:val="left"/>
        <w:tabs>
          <w:tab w:val="left" w:pos="99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договора.</w:t>
      </w:r>
      <w:r>
        <w:rPr>
          <w:b/>
          <w:bCs/>
          <w:sz w:val="24"/>
          <w:szCs w:val="24"/>
        </w:rPr>
      </w:r>
    </w:p>
    <w:p>
      <w:pPr>
        <w:pStyle w:val="659"/>
        <w:ind w:firstLine="709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оборудования на склад получателя – ООО «БрянскЭлектро» г. Брянск просп. Ст. Димитрова, 5В в объемах и сроки установленные данным ТЗ:</w:t>
      </w:r>
      <w:r>
        <w:rPr>
          <w:sz w:val="24"/>
          <w:szCs w:val="24"/>
        </w:rPr>
      </w:r>
    </w:p>
    <w:p>
      <w:pPr>
        <w:pStyle w:val="659"/>
        <w:ind w:firstLine="0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jc w:val="center"/>
        <w:tblInd w:w="-5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44"/>
        <w:gridCol w:w="1916"/>
        <w:gridCol w:w="4356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18"/>
        </w:trPr>
        <w:tc>
          <w:tcPr>
            <w:tcBorders>
              <w:bottom w:val="single" w:color="000000" w:sz="4" w:space="0"/>
            </w:tcBorders>
            <w:tcW w:w="2544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</w:t>
            </w:r>
            <w:r>
              <w:rPr>
                <w:sz w:val="24"/>
                <w:szCs w:val="24"/>
              </w:rPr>
            </w:r>
          </w:p>
        </w:tc>
        <w:tc>
          <w:tcPr>
            <w:tcW w:w="1916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транспорта</w:t>
            </w:r>
            <w:r>
              <w:rPr>
                <w:sz w:val="24"/>
                <w:szCs w:val="24"/>
              </w:rPr>
            </w:r>
          </w:p>
        </w:tc>
        <w:tc>
          <w:tcPr>
            <w:tcW w:w="4356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Точка поставки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</w:r>
          </w:p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шт.</w:t>
            </w:r>
            <w:r>
              <w:rPr>
                <w:sz w:val="24"/>
                <w:szCs w:val="24"/>
              </w:rPr>
            </w:r>
          </w:p>
          <w:p>
            <w:pPr>
              <w:pStyle w:val="659"/>
              <w:ind w:firstLine="0"/>
              <w:jc w:val="center"/>
              <w:tabs>
                <w:tab w:val="left" w:pos="1134" w:leader="none"/>
              </w:tabs>
            </w:pPr>
            <w:r>
              <w:rPr>
                <w:sz w:val="24"/>
                <w:szCs w:val="24"/>
              </w:rPr>
              <w:t xml:space="preserve">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3"/>
        </w:trPr>
        <w:tc>
          <w:tcPr>
            <w:tcW w:w="2544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«БрянскЭлектро»</w:t>
            </w:r>
            <w:r>
              <w:rPr>
                <w:sz w:val="24"/>
                <w:szCs w:val="24"/>
              </w:rPr>
            </w:r>
          </w:p>
        </w:tc>
        <w:tc>
          <w:tcPr>
            <w:tcW w:w="1916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Авто/жд</w:t>
            </w:r>
            <w:r>
              <w:rPr>
                <w:sz w:val="24"/>
                <w:szCs w:val="24"/>
              </w:rPr>
            </w:r>
          </w:p>
        </w:tc>
        <w:tc>
          <w:tcPr>
            <w:tcW w:w="4356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г.Брянск</w:t>
            </w:r>
            <w:r>
              <w:rPr>
                <w:sz w:val="24"/>
                <w:szCs w:val="24"/>
              </w:rPr>
            </w:r>
          </w:p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пр-кт Ст.Димитрова, 5В</w:t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85"/>
        <w:ind w:hanging="11"/>
        <w:spacing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11"/>
        </w:numPr>
        <w:spacing w:line="276" w:lineRule="auto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Технические требования к </w:t>
      </w:r>
      <w:r>
        <w:rPr>
          <w:b/>
          <w:bCs/>
          <w:sz w:val="24"/>
          <w:szCs w:val="24"/>
        </w:rPr>
        <w:t xml:space="preserve">продукции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</w:p>
    <w:p>
      <w:pPr>
        <w:pStyle w:val="685"/>
        <w:numPr>
          <w:ilvl w:val="1"/>
          <w:numId w:val="11"/>
        </w:numPr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>
        <w:rPr>
          <w:sz w:val="24"/>
          <w:szCs w:val="24"/>
        </w:rPr>
        <w:t xml:space="preserve">запчастей </w:t>
      </w:r>
      <w:r>
        <w:rPr>
          <w:sz w:val="24"/>
          <w:szCs w:val="24"/>
        </w:rPr>
        <w:t xml:space="preserve">к силовым трансформаторам, реакторам</w:t>
      </w:r>
      <w:r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 xml:space="preserve">запчасти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должны соответствовать значениям, приведенным в Приложении к ТЗ</w:t>
      </w:r>
      <w:r>
        <w:rPr>
          <w:sz w:val="24"/>
          <w:szCs w:val="24"/>
        </w:rPr>
        <w:t xml:space="preserve"> (в приложении с</w:t>
      </w:r>
      <w:r>
        <w:rPr>
          <w:sz w:val="24"/>
          <w:szCs w:val="24"/>
        </w:rPr>
        <w:t xml:space="preserve">сылки на конкретный тип продукции, производителя, торговые марки и знаки носят лишь описательный, а не обязательный характер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6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58"/>
        <w:gridCol w:w="3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11"/>
          <w:tblHeader/>
        </w:trPr>
        <w:tc>
          <w:tcPr>
            <w:tcBorders>
              <w:bottom w:val="single" w:color="000000" w:sz="4" w:space="0"/>
            </w:tcBorders>
            <w:tcW w:w="7058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Параметры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58" w:type="dxa"/>
            <w:vAlign w:val="center"/>
            <w:textDirection w:val="lrTb"/>
            <w:noWrap w:val="false"/>
          </w:tcPr>
          <w:p>
            <w:pPr>
              <w:pStyle w:val="659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22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</w:t>
            </w:r>
            <w:r>
              <w:rPr>
                <w:i/>
                <w:sz w:val="24"/>
                <w:szCs w:val="24"/>
              </w:rPr>
              <w:t xml:space="preserve">5</w:t>
            </w:r>
            <w:r>
              <w:rPr>
                <w:i/>
                <w:sz w:val="24"/>
                <w:szCs w:val="24"/>
              </w:rPr>
              <w:t xml:space="preserve">00А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58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шпильке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22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М42х3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58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отверстий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22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58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22" w:type="dxa"/>
            <w:vAlign w:val="top"/>
            <w:textDirection w:val="lrTb"/>
            <w:noWrap w:val="false"/>
          </w:tcPr>
          <w:p>
            <w:pPr>
              <w:pStyle w:val="659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Латунь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659"/>
        <w:ind w:firstLine="709"/>
        <w:spacing w:line="276" w:lineRule="auto"/>
        <w:tabs>
          <w:tab w:val="left" w:pos="709" w:leader="none"/>
          <w:tab w:val="left" w:pos="121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11"/>
        </w:numPr>
        <w:ind w:left="0" w:firstLine="709"/>
        <w:spacing w:line="276" w:lineRule="auto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Общие требования. </w:t>
      </w:r>
      <w:r>
        <w:rPr>
          <w:b/>
          <w:bCs/>
          <w:sz w:val="24"/>
          <w:szCs w:val="24"/>
        </w:rPr>
      </w:r>
    </w:p>
    <w:p>
      <w:pPr>
        <w:pStyle w:val="685"/>
        <w:numPr>
          <w:ilvl w:val="0"/>
          <w:numId w:val="6"/>
        </w:numPr>
        <w:ind w:left="0" w:firstLine="709"/>
        <w:spacing w:line="276" w:lineRule="auto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допускаются </w:t>
      </w:r>
      <w:r>
        <w:rPr>
          <w:sz w:val="24"/>
          <w:szCs w:val="24"/>
        </w:rPr>
        <w:t xml:space="preserve">запчасти</w:t>
      </w:r>
      <w:r>
        <w:rPr>
          <w:sz w:val="24"/>
          <w:szCs w:val="24"/>
        </w:rPr>
        <w:t xml:space="preserve">, отвечающие следующим требованиям:</w:t>
      </w:r>
      <w:r>
        <w:rPr>
          <w:sz w:val="24"/>
          <w:szCs w:val="24"/>
        </w:rPr>
      </w:r>
    </w:p>
    <w:p>
      <w:pPr>
        <w:pStyle w:val="685"/>
        <w:numPr>
          <w:ilvl w:val="0"/>
          <w:numId w:val="8"/>
        </w:numPr>
        <w:ind w:left="0" w:firstLine="709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быть новой, ранее не использованной;</w:t>
      </w:r>
      <w:r>
        <w:rPr>
          <w:sz w:val="24"/>
          <w:szCs w:val="24"/>
        </w:rPr>
      </w:r>
    </w:p>
    <w:p>
      <w:pPr>
        <w:pStyle w:val="685"/>
        <w:numPr>
          <w:ilvl w:val="0"/>
          <w:numId w:val="8"/>
        </w:numPr>
        <w:ind w:left="0" w:firstLine="709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 xml:space="preserve">запчастей</w:t>
      </w:r>
      <w:r>
        <w:rPr>
          <w:sz w:val="24"/>
          <w:szCs w:val="24"/>
        </w:rPr>
        <w:t xml:space="preserve"> условиям эксплуатации и действующим отраслевым (национальным) требованиям;</w:t>
      </w:r>
      <w:r>
        <w:rPr>
          <w:sz w:val="24"/>
          <w:szCs w:val="24"/>
        </w:rPr>
      </w:r>
    </w:p>
    <w:p>
      <w:pPr>
        <w:pStyle w:val="685"/>
        <w:numPr>
          <w:ilvl w:val="0"/>
          <w:numId w:val="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российских производителей - наличие ТУ, подтверждающих соответствие техническим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 xml:space="preserve">ПАО</w:t>
      </w:r>
      <w:r>
        <w:rPr>
          <w:sz w:val="24"/>
          <w:szCs w:val="24"/>
        </w:rPr>
        <w:t xml:space="preserve"> «Россети»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</w:p>
    <w:p>
      <w:pPr>
        <w:pStyle w:val="685"/>
        <w:numPr>
          <w:ilvl w:val="0"/>
          <w:numId w:val="6"/>
        </w:numPr>
        <w:ind w:left="0" w:firstLine="709"/>
        <w:spacing w:line="276" w:lineRule="auto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</w:t>
      </w:r>
      <w:r>
        <w:rPr>
          <w:sz w:val="24"/>
          <w:szCs w:val="24"/>
        </w:rPr>
        <w:t xml:space="preserve">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685"/>
        <w:numPr>
          <w:ilvl w:val="0"/>
          <w:numId w:val="6"/>
        </w:numPr>
        <w:ind w:left="0" w:firstLine="709"/>
        <w:spacing w:line="276" w:lineRule="auto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Запчасти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ГОСТ 24126</w:t>
      </w:r>
      <w:r>
        <w:rPr>
          <w:color w:val="000000"/>
          <w:sz w:val="26"/>
          <w:szCs w:val="26"/>
        </w:rPr>
        <w:t xml:space="preserve"> (для </w:t>
      </w:r>
      <w:r>
        <w:rPr>
          <w:color w:val="000000"/>
          <w:sz w:val="26"/>
          <w:szCs w:val="26"/>
        </w:rPr>
        <w:t xml:space="preserve">РПН</w:t>
      </w:r>
      <w:r>
        <w:rPr>
          <w:color w:val="000000"/>
          <w:sz w:val="26"/>
          <w:szCs w:val="26"/>
        </w:rPr>
        <w:t xml:space="preserve">),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ТУ 34-38-10724-84</w:t>
      </w:r>
      <w:r>
        <w:rPr>
          <w:color w:val="000000"/>
          <w:sz w:val="26"/>
          <w:szCs w:val="26"/>
        </w:rPr>
        <w:t xml:space="preserve"> (для обмоток), </w:t>
      </w:r>
      <w:r>
        <w:rPr>
          <w:color w:val="000000"/>
          <w:sz w:val="26"/>
          <w:szCs w:val="26"/>
        </w:rPr>
        <w:t xml:space="preserve">ГОСТ 7338</w:t>
      </w:r>
      <w:r>
        <w:rPr>
          <w:color w:val="000000"/>
          <w:sz w:val="26"/>
          <w:szCs w:val="26"/>
        </w:rPr>
        <w:t xml:space="preserve"> (для пластин резиновых), </w:t>
      </w:r>
      <w:r>
        <w:rPr>
          <w:color w:val="000000"/>
          <w:sz w:val="26"/>
          <w:szCs w:val="26"/>
        </w:rPr>
        <w:t xml:space="preserve">ГОСТ 15180</w:t>
      </w:r>
      <w:r>
        <w:rPr>
          <w:color w:val="000000"/>
          <w:sz w:val="26"/>
          <w:szCs w:val="26"/>
        </w:rPr>
        <w:t xml:space="preserve"> (для прокладок плоских эластичных</w:t>
      </w:r>
      <w:r>
        <w:rPr>
          <w:sz w:val="26"/>
          <w:szCs w:val="26"/>
        </w:rPr>
        <w:t xml:space="preserve">), </w:t>
      </w:r>
      <w:r>
        <w:rPr>
          <w:color w:val="000000"/>
          <w:sz w:val="26"/>
          <w:szCs w:val="26"/>
        </w:rPr>
        <w:t xml:space="preserve">ТУ 25-2034.1162-89</w:t>
      </w:r>
      <w:r>
        <w:rPr>
          <w:color w:val="000000"/>
          <w:sz w:val="26"/>
          <w:szCs w:val="26"/>
        </w:rPr>
        <w:t xml:space="preserve"> (для трубок маслоуказателя), </w:t>
      </w:r>
      <w:r>
        <w:rPr>
          <w:color w:val="000000"/>
          <w:sz w:val="24"/>
          <w:szCs w:val="24"/>
        </w:rPr>
        <w:t xml:space="preserve">ГОСТ 10667</w:t>
      </w:r>
      <w:r>
        <w:rPr>
          <w:color w:val="000000"/>
          <w:sz w:val="24"/>
          <w:szCs w:val="24"/>
        </w:rPr>
        <w:t xml:space="preserve"> (для стекла маслоуказателя), </w:t>
      </w:r>
      <w:r>
        <w:rPr>
          <w:sz w:val="24"/>
          <w:szCs w:val="24"/>
        </w:rPr>
        <w:t xml:space="preserve">ГОСТ 33004</w:t>
      </w:r>
      <w:r>
        <w:rPr>
          <w:sz w:val="24"/>
          <w:szCs w:val="24"/>
        </w:rPr>
        <w:t xml:space="preserve"> (для изделий из стекла)</w:t>
      </w:r>
      <w:r>
        <w:rPr>
          <w:sz w:val="24"/>
          <w:szCs w:val="24"/>
        </w:rPr>
        <w:t xml:space="preserve">, </w:t>
      </w:r>
      <w:r>
        <w:rPr>
          <w:color w:val="000000"/>
          <w:sz w:val="26"/>
          <w:szCs w:val="26"/>
        </w:rPr>
        <w:t xml:space="preserve">ГОСТ 11677</w:t>
      </w:r>
      <w:r>
        <w:rPr>
          <w:color w:val="000000"/>
          <w:sz w:val="26"/>
          <w:szCs w:val="26"/>
        </w:rPr>
        <w:t xml:space="preserve">, </w:t>
      </w:r>
      <w:r>
        <w:rPr>
          <w:sz w:val="24"/>
          <w:szCs w:val="24"/>
        </w:rPr>
        <w:t xml:space="preserve">ГОСТ 15150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ГОСТ</w:t>
      </w:r>
      <w:r>
        <w:rPr>
          <w:sz w:val="24"/>
          <w:szCs w:val="24"/>
        </w:rPr>
        <w:t xml:space="preserve"> 15543.1.</w:t>
      </w:r>
      <w:r>
        <w:rPr>
          <w:sz w:val="24"/>
          <w:szCs w:val="24"/>
        </w:rPr>
        <w:t xml:space="preserve">, ТУ 34 27.10954-85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6"/>
        </w:numPr>
        <w:ind w:left="0" w:firstLine="709"/>
        <w:spacing w:line="276" w:lineRule="auto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условия и сроки хранения.</w:t>
      </w:r>
      <w:r>
        <w:rPr>
          <w:sz w:val="24"/>
          <w:szCs w:val="24"/>
        </w:rPr>
      </w:r>
    </w:p>
    <w:p>
      <w:pPr>
        <w:pStyle w:val="659"/>
        <w:ind w:firstLine="709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 xml:space="preserve">запчастей</w:t>
      </w:r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изготовителя, ГОСТ 23216, </w:t>
      </w:r>
      <w:r>
        <w:rPr>
          <w:sz w:val="24"/>
          <w:szCs w:val="24"/>
        </w:rPr>
        <w:t xml:space="preserve">ГОСТ 14192, </w:t>
      </w:r>
      <w:r>
        <w:rPr>
          <w:sz w:val="24"/>
          <w:szCs w:val="24"/>
        </w:rPr>
        <w:t xml:space="preserve">ГОСТ 2991, </w:t>
      </w:r>
      <w:r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16511</w:t>
      </w:r>
      <w:r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  <w:r>
        <w:rPr>
          <w:sz w:val="24"/>
          <w:szCs w:val="24"/>
        </w:rPr>
      </w:r>
    </w:p>
    <w:p>
      <w:pPr>
        <w:pStyle w:val="686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Сп</w:t>
      </w:r>
      <w:r>
        <w:rPr>
          <w:szCs w:val="24"/>
        </w:rPr>
        <w:t xml:space="preserve">особ укладки и транспортировки </w:t>
      </w:r>
      <w:r>
        <w:rPr>
          <w:szCs w:val="24"/>
        </w:rPr>
        <w:t xml:space="preserve">запчастей</w:t>
      </w:r>
      <w:r>
        <w:rPr>
          <w:szCs w:val="24"/>
        </w:rPr>
        <w:t xml:space="preserve"> должен предотвратить их поврежд</w:t>
      </w:r>
      <w:r>
        <w:rPr>
          <w:szCs w:val="24"/>
        </w:rPr>
        <w:t xml:space="preserve">е</w:t>
      </w:r>
      <w:r>
        <w:rPr>
          <w:szCs w:val="24"/>
        </w:rPr>
        <w:t xml:space="preserve">ние или порчу во время перевозки и погрузк</w:t>
      </w:r>
      <w:r>
        <w:rPr>
          <w:szCs w:val="24"/>
        </w:rPr>
        <w:t xml:space="preserve">и</w:t>
      </w:r>
      <w:r>
        <w:rPr>
          <w:szCs w:val="24"/>
        </w:rPr>
        <w:t xml:space="preserve">/разгрузк</w:t>
      </w:r>
      <w:r>
        <w:rPr>
          <w:szCs w:val="24"/>
        </w:rPr>
        <w:t xml:space="preserve">и</w:t>
      </w:r>
      <w:r>
        <w:rPr>
          <w:szCs w:val="24"/>
        </w:rPr>
        <w:t xml:space="preserve">, а также воздействие осадков во время пер</w:t>
      </w:r>
      <w:r>
        <w:rPr>
          <w:szCs w:val="24"/>
        </w:rPr>
        <w:t xml:space="preserve">е</w:t>
      </w:r>
      <w:r>
        <w:rPr>
          <w:szCs w:val="24"/>
        </w:rPr>
        <w:t xml:space="preserve">возки и при открытом хранении.</w:t>
      </w:r>
      <w:r>
        <w:rPr>
          <w:szCs w:val="24"/>
        </w:rPr>
      </w:r>
    </w:p>
    <w:p>
      <w:pPr>
        <w:pStyle w:val="686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Упаковка </w:t>
      </w:r>
      <w:r>
        <w:rPr>
          <w:szCs w:val="24"/>
        </w:rPr>
        <w:t xml:space="preserve">запчастей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 xml:space="preserve">изделий</w:t>
      </w:r>
      <w:r>
        <w:rPr>
          <w:szCs w:val="24"/>
        </w:rPr>
        <w:t xml:space="preserve">.</w:t>
      </w:r>
      <w:r>
        <w:rPr>
          <w:szCs w:val="24"/>
        </w:rPr>
      </w:r>
    </w:p>
    <w:p>
      <w:pPr>
        <w:pStyle w:val="686"/>
        <w:numPr>
          <w:ilvl w:val="0"/>
          <w:numId w:val="6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Каждая партия </w:t>
      </w:r>
      <w:r>
        <w:rPr>
          <w:szCs w:val="24"/>
        </w:rPr>
        <w:t xml:space="preserve">запчастей</w:t>
      </w:r>
      <w:r>
        <w:rPr>
          <w:szCs w:val="24"/>
        </w:rPr>
        <w:t xml:space="preserve"> должна подвергаться приемо-сдаточным испытаниям в соответствие с </w:t>
      </w:r>
      <w:r>
        <w:rPr>
          <w:szCs w:val="24"/>
        </w:rPr>
        <w:t xml:space="preserve">ГОСТ 16962.2</w:t>
      </w:r>
      <w:r>
        <w:rPr>
          <w:szCs w:val="24"/>
        </w:rPr>
        <w:t xml:space="preserve"> (для конкретного типа номенклатуры)</w:t>
      </w:r>
      <w:r>
        <w:rPr>
          <w:szCs w:val="24"/>
        </w:rPr>
        <w:t xml:space="preserve">, </w:t>
      </w:r>
      <w:r>
        <w:rPr>
          <w:color w:val="000000"/>
          <w:sz w:val="26"/>
          <w:szCs w:val="26"/>
        </w:rPr>
        <w:t xml:space="preserve">ГОСТ 24126 (для РПН), </w:t>
      </w:r>
      <w:r>
        <w:rPr>
          <w:color w:val="000000"/>
          <w:sz w:val="26"/>
          <w:szCs w:val="26"/>
        </w:rPr>
        <w:t xml:space="preserve">ТУ 34-38-10724-84</w:t>
      </w:r>
      <w:r>
        <w:rPr>
          <w:color w:val="000000"/>
          <w:sz w:val="26"/>
          <w:szCs w:val="26"/>
        </w:rPr>
        <w:t xml:space="preserve"> (для обмоток), </w:t>
      </w:r>
      <w:r>
        <w:rPr>
          <w:color w:val="000000"/>
          <w:sz w:val="26"/>
          <w:szCs w:val="26"/>
        </w:rPr>
        <w:t xml:space="preserve">ГОСТ 7338</w:t>
      </w:r>
      <w:r>
        <w:rPr>
          <w:color w:val="000000"/>
          <w:sz w:val="26"/>
          <w:szCs w:val="26"/>
        </w:rPr>
        <w:t xml:space="preserve"> (для пластин резиновых)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Cs w:val="24"/>
        </w:rPr>
        <w:t xml:space="preserve">ГОСТ 10667</w:t>
      </w:r>
      <w:r>
        <w:rPr>
          <w:color w:val="000000"/>
          <w:szCs w:val="24"/>
        </w:rPr>
        <w:t xml:space="preserve"> (для стекла маслоуказателя)</w:t>
      </w:r>
      <w:r>
        <w:rPr>
          <w:szCs w:val="24"/>
        </w:rPr>
        <w:t xml:space="preserve">.</w:t>
      </w:r>
      <w:r>
        <w:rPr>
          <w:szCs w:val="24"/>
        </w:rPr>
      </w:r>
    </w:p>
    <w:p>
      <w:pPr>
        <w:pStyle w:val="686"/>
        <w:numPr>
          <w:ilvl w:val="0"/>
          <w:numId w:val="6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Срок изготовления </w:t>
      </w:r>
      <w:r>
        <w:rPr>
          <w:szCs w:val="24"/>
        </w:rPr>
        <w:t xml:space="preserve">запчастей </w:t>
      </w:r>
      <w:r>
        <w:rPr>
          <w:szCs w:val="24"/>
        </w:rPr>
        <w:t xml:space="preserve">должен быть не более полугода от момента поставки.</w:t>
      </w:r>
      <w:r>
        <w:rPr>
          <w:szCs w:val="24"/>
        </w:rPr>
      </w:r>
    </w:p>
    <w:p>
      <w:pPr>
        <w:pStyle w:val="686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685"/>
        <w:numPr>
          <w:ilvl w:val="0"/>
          <w:numId w:val="11"/>
        </w:numPr>
        <w:ind w:left="0" w:firstLine="567"/>
        <w:spacing w:line="276" w:lineRule="auto"/>
        <w:tabs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Гарантийные обязательства.</w:t>
      </w:r>
      <w:r>
        <w:rPr>
          <w:b/>
          <w:bCs/>
          <w:sz w:val="26"/>
          <w:szCs w:val="26"/>
        </w:rPr>
      </w:r>
    </w:p>
    <w:p>
      <w:pPr>
        <w:pStyle w:val="685"/>
        <w:ind w:left="0" w:firstLine="567"/>
        <w:spacing w:line="276" w:lineRule="auto"/>
        <w:tabs>
          <w:tab w:val="left" w:pos="1134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</w:t>
      </w:r>
      <w:r>
        <w:rPr>
          <w:sz w:val="24"/>
          <w:szCs w:val="24"/>
        </w:rPr>
        <w:t xml:space="preserve">ую продукцию</w:t>
      </w:r>
      <w:r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 xml:space="preserve">60 месяцев (для РПН), </w:t>
      </w:r>
      <w:r>
        <w:rPr>
          <w:sz w:val="24"/>
          <w:szCs w:val="24"/>
        </w:rPr>
        <w:t xml:space="preserve">36 месяцев </w:t>
      </w:r>
      <w:r>
        <w:rPr>
          <w:sz w:val="24"/>
          <w:szCs w:val="24"/>
        </w:rPr>
        <w:t xml:space="preserve">(для конкретного типа номенклатуры) </w:t>
      </w:r>
      <w:r>
        <w:rPr>
          <w:sz w:val="24"/>
          <w:szCs w:val="24"/>
        </w:rPr>
        <w:t xml:space="preserve">со дня ее поставк</w:t>
      </w:r>
      <w:r>
        <w:rPr>
          <w:sz w:val="24"/>
          <w:szCs w:val="24"/>
        </w:rPr>
        <w:t xml:space="preserve">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</w:t>
      </w:r>
      <w:r>
        <w:rPr>
          <w:sz w:val="24"/>
          <w:szCs w:val="24"/>
        </w:rPr>
        <w:t xml:space="preserve">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</w:r>
    </w:p>
    <w:p>
      <w:pPr>
        <w:pStyle w:val="659"/>
        <w:ind w:firstLine="0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11"/>
        </w:numPr>
        <w:ind w:left="0" w:firstLine="567"/>
        <w:jc w:val="left"/>
        <w:spacing w:line="276" w:lineRule="auto"/>
        <w:tabs>
          <w:tab w:val="left" w:pos="1134" w:leader="none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Требования к надежности и живучести продукции.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59"/>
        <w:ind w:firstLine="567"/>
        <w:spacing w:line="276" w:lineRule="auto"/>
        <w:tabs>
          <w:tab w:val="left" w:pos="1134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</w:t>
      </w:r>
      <w:r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</w:t>
      </w:r>
      <w:r>
        <w:rPr>
          <w:sz w:val="24"/>
          <w:szCs w:val="24"/>
        </w:rPr>
        <w:t xml:space="preserve">живанию) должен быть не менее 25</w:t>
      </w:r>
      <w:r>
        <w:rPr>
          <w:sz w:val="24"/>
          <w:szCs w:val="24"/>
        </w:rPr>
        <w:t xml:space="preserve"> лет.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9"/>
        <w:ind w:firstLine="567"/>
        <w:spacing w:line="276" w:lineRule="auto"/>
        <w:tabs>
          <w:tab w:val="left" w:pos="1134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11"/>
        </w:numPr>
        <w:ind w:left="0" w:firstLine="567"/>
        <w:spacing w:line="276" w:lineRule="auto"/>
        <w:tabs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Маркировка, состав технической и эксплуатационной документации.</w:t>
      </w:r>
      <w:r>
        <w:rPr>
          <w:b/>
          <w:bCs/>
          <w:sz w:val="26"/>
          <w:szCs w:val="26"/>
        </w:rPr>
      </w:r>
    </w:p>
    <w:p>
      <w:pPr>
        <w:pStyle w:val="659"/>
        <w:ind w:firstLine="567"/>
        <w:spacing w:line="276" w:lineRule="auto"/>
        <w:tabs>
          <w:tab w:val="left" w:pos="1134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запчастей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издел</w:t>
      </w:r>
      <w:r>
        <w:rPr>
          <w:sz w:val="24"/>
          <w:szCs w:val="24"/>
        </w:rPr>
        <w:t xml:space="preserve">ия конкретных типов. Маркировка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>
        <w:rPr>
          <w:sz w:val="24"/>
          <w:szCs w:val="24"/>
        </w:rPr>
        <w:t xml:space="preserve">запчастей</w:t>
      </w:r>
      <w:r>
        <w:rPr>
          <w:sz w:val="24"/>
          <w:szCs w:val="24"/>
        </w:rPr>
        <w:t xml:space="preserve"> до</w:t>
      </w:r>
      <w:r>
        <w:rPr>
          <w:sz w:val="24"/>
          <w:szCs w:val="24"/>
        </w:rPr>
        <w:t xml:space="preserve">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стандартами или техническими условиями на изделия конкретных серий и типов.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9"/>
        <w:ind w:firstLine="567"/>
        <w:spacing w:line="276" w:lineRule="auto"/>
        <w:tabs>
          <w:tab w:val="left" w:pos="1134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запчастей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</w:t>
      </w:r>
      <w:r>
        <w:rPr>
          <w:sz w:val="24"/>
          <w:szCs w:val="24"/>
        </w:rPr>
        <w:t xml:space="preserve">ГОСТ Р 2.601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685"/>
        <w:ind w:left="0" w:firstLine="567"/>
        <w:spacing w:line="276" w:lineRule="auto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11"/>
        </w:numPr>
        <w:ind w:left="0" w:firstLine="567"/>
        <w:spacing w:line="276" w:lineRule="auto"/>
        <w:tabs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Правила приемки продукции.</w:t>
      </w:r>
      <w:r>
        <w:rPr>
          <w:b/>
          <w:bCs/>
          <w:sz w:val="26"/>
          <w:szCs w:val="26"/>
        </w:rPr>
      </w:r>
    </w:p>
    <w:p>
      <w:pPr>
        <w:pStyle w:val="686"/>
        <w:ind w:firstLine="567"/>
        <w:spacing w:line="276" w:lineRule="auto"/>
        <w:tabs>
          <w:tab w:val="left" w:pos="0" w:leader="none"/>
        </w:tabs>
        <w:rPr>
          <w:szCs w:val="24"/>
        </w:rPr>
      </w:pPr>
      <w:r>
        <w:rPr>
          <w:szCs w:val="24"/>
        </w:rPr>
        <w:t xml:space="preserve">Каждая партия заявляемой номенклатуры должна пройти входной контроль, осуществляемый представителями филиалов </w:t>
      </w:r>
      <w:r>
        <w:rPr>
          <w:szCs w:val="24"/>
        </w:rPr>
        <w:t xml:space="preserve">П</w:t>
      </w:r>
      <w:r>
        <w:rPr>
          <w:szCs w:val="24"/>
        </w:rPr>
        <w:t xml:space="preserve">АО «</w:t>
      </w:r>
      <w:r>
        <w:rPr>
          <w:szCs w:val="24"/>
        </w:rPr>
        <w:t xml:space="preserve">Россети Центр</w:t>
      </w:r>
      <w:r>
        <w:rPr>
          <w:szCs w:val="24"/>
        </w:rPr>
        <w:t xml:space="preserve">» </w:t>
      </w:r>
      <w:r>
        <w:rPr>
          <w:szCs w:val="24"/>
        </w:rPr>
        <w:t xml:space="preserve">/ ПАО «Россети Центр и Приволжье»</w:t>
      </w:r>
      <w:r>
        <w:rPr>
          <w:szCs w:val="24"/>
        </w:rPr>
        <w:t xml:space="preserve"> </w:t>
      </w:r>
      <w:r>
        <w:rPr>
          <w:szCs w:val="24"/>
        </w:rPr>
        <w:t xml:space="preserve">и ответственными представителями Поставщика при получении их на склад.</w:t>
      </w:r>
      <w:r>
        <w:rPr>
          <w:szCs w:val="24"/>
        </w:rPr>
      </w:r>
    </w:p>
    <w:p>
      <w:pPr>
        <w:pStyle w:val="685"/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numPr>
          <w:ilvl w:val="0"/>
          <w:numId w:val="12"/>
        </w:numPr>
        <w:ind w:left="0" w:firstLine="851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Дополнительные требования.</w:t>
      </w:r>
      <w:r>
        <w:rPr>
          <w:b/>
          <w:bCs/>
          <w:sz w:val="26"/>
          <w:szCs w:val="26"/>
        </w:rPr>
      </w:r>
    </w:p>
    <w:p>
      <w:pPr>
        <w:pStyle w:val="685"/>
        <w:ind w:left="0" w:firstLine="709"/>
        <w:tabs>
          <w:tab w:val="left" w:pos="993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Наличие в заводской документации информации по условиям и срокам хранения, обеспечивающим заводскую гарантию.</w:t>
      </w:r>
      <w:r>
        <w:rPr>
          <w:sz w:val="24"/>
          <w:szCs w:val="24"/>
        </w:rPr>
      </w:r>
    </w:p>
    <w:p>
      <w:pPr>
        <w:pStyle w:val="685"/>
        <w:ind w:left="0" w:firstLine="709"/>
        <w:tabs>
          <w:tab w:val="left" w:pos="993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  <w:r>
        <w:rPr>
          <w:sz w:val="24"/>
          <w:szCs w:val="24"/>
        </w:rPr>
      </w:r>
    </w:p>
    <w:p>
      <w:pPr>
        <w:pStyle w:val="685"/>
        <w:ind w:left="0" w:firstLine="709"/>
        <w:tabs>
          <w:tab w:val="left" w:pos="993" w:leader="none"/>
          <w:tab w:val="left" w:pos="1276" w:leader="none"/>
          <w:tab w:val="left" w:pos="1560" w:leader="none"/>
        </w:tabs>
        <w:rPr>
          <w:sz w:val="26"/>
          <w:szCs w:val="26"/>
        </w:rPr>
      </w:pPr>
      <w:r>
        <w:rPr>
          <w:sz w:val="24"/>
          <w:szCs w:val="24"/>
        </w:rPr>
        <w:t xml:space="preserve">Срок поставки: с</w:t>
      </w:r>
      <w:r>
        <w:rPr>
          <w:sz w:val="24"/>
          <w:szCs w:val="24"/>
        </w:rPr>
        <w:t xml:space="preserve"> момента заключения Договора по 31.12.2026 года по заявкам Заказчика. Поставка в течение 10 календарных дней с момента подачи заявки Заказчика.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85"/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85"/>
        <w:ind w:left="0" w:firstLine="0"/>
        <w:spacing w:line="276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Начальник УРС</w:t>
        <w:tab/>
        <w:tab/>
        <w:t xml:space="preserve">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</w:t>
      </w:r>
      <w:r>
        <w:rPr>
          <w:b/>
          <w:sz w:val="24"/>
          <w:szCs w:val="24"/>
        </w:rPr>
        <w:t xml:space="preserve">   В.В. Дерий</w:t>
      </w:r>
      <w:r>
        <w:rPr>
          <w:b/>
          <w:sz w:val="24"/>
          <w:szCs w:val="24"/>
        </w:rPr>
      </w:r>
    </w:p>
    <w:sectPr>
      <w:headerReference w:type="even" r:id="rId9"/>
      <w:footnotePr/>
      <w:endnotePr/>
      <w:type w:val="nextPage"/>
      <w:pgSz w:w="12240" w:h="15840" w:orient="portrait"/>
      <w:pgMar w:top="709" w:right="567" w:bottom="851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3"/>
      <w:rPr>
        <w:rStyle w:val="674"/>
      </w:rPr>
      <w:framePr w:wrap="around" w:vAnchor="text" w:hAnchor="margin" w:xAlign="center" w:y="1"/>
    </w:pPr>
    <w:r>
      <w:rPr>
        <w:rStyle w:val="674"/>
      </w:rPr>
      <w:fldChar w:fldCharType="begin"/>
    </w:r>
    <w:r>
      <w:rPr>
        <w:rStyle w:val="674"/>
      </w:rPr>
      <w:instrText xml:space="preserve">PAGE  </w:instrText>
    </w:r>
    <w:r>
      <w:rPr>
        <w:rStyle w:val="674"/>
      </w:rPr>
      <w:fldChar w:fldCharType="separate"/>
    </w:r>
    <w:r>
      <w:rPr>
        <w:rStyle w:val="674"/>
      </w:rPr>
      <w:t xml:space="preserve">1</w:t>
    </w:r>
    <w:r>
      <w:rPr>
        <w:rStyle w:val="674"/>
      </w:rPr>
      <w:fldChar w:fldCharType="end"/>
    </w:r>
    <w:r>
      <w:rPr>
        <w:rStyle w:val="674"/>
      </w:rPr>
    </w:r>
    <w:r>
      <w:rPr>
        <w:rStyle w:val="674"/>
      </w:rPr>
    </w:r>
  </w:p>
  <w:p>
    <w:pPr>
      <w:pStyle w:val="673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2.%1"/>
      <w:lvlJc w:val="left"/>
      <w:pPr>
        <w:ind w:left="148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45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</w:lvl>
  </w:abstractNum>
  <w:abstractNum w:abstractNumId="3">
    <w:multiLevelType w:val="hybridMultilevel"/>
    <w:lvl w:ilvl="0">
      <w:start w:val="1"/>
      <w:numFmt w:val="decimal"/>
      <w:pStyle w:val="687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pStyle w:val="660"/>
      <w:isLgl w:val="false"/>
      <w:suff w:val="tab"/>
      <w:lvlText w:val="%1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pStyle w:val="661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pStyle w:val="662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663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pStyle w:val="664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665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666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667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668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9"/>
    <w:next w:val="65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9"/>
    <w:next w:val="65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9"/>
    <w:next w:val="65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9"/>
    <w:next w:val="65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9"/>
    <w:next w:val="65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9"/>
    <w:next w:val="65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9"/>
    <w:next w:val="65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9"/>
    <w:next w:val="65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9"/>
    <w:next w:val="65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9"/>
    <w:next w:val="65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9"/>
    <w:next w:val="65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9"/>
    <w:next w:val="65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9"/>
    <w:next w:val="65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9"/>
    <w:next w:val="6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9"/>
    <w:next w:val="65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9"/>
    <w:next w:val="65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9"/>
    <w:next w:val="65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9"/>
    <w:next w:val="65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9"/>
    <w:next w:val="65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9"/>
    <w:next w:val="65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9"/>
    <w:next w:val="65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9"/>
    <w:next w:val="65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9"/>
    <w:next w:val="65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9"/>
    <w:next w:val="659"/>
    <w:uiPriority w:val="99"/>
    <w:unhideWhenUsed/>
    <w:pPr>
      <w:spacing w:after="0" w:afterAutospacing="0"/>
    </w:pPr>
  </w:style>
  <w:style w:type="paragraph" w:styleId="659" w:default="1">
    <w:name w:val="Normal"/>
    <w:next w:val="659"/>
    <w:link w:val="659"/>
    <w:qFormat/>
    <w:pPr>
      <w:ind w:firstLine="851"/>
      <w:jc w:val="both"/>
    </w:pPr>
    <w:rPr>
      <w:lang w:val="ru-RU" w:eastAsia="ru-RU" w:bidi="ar-SA"/>
    </w:rPr>
  </w:style>
  <w:style w:type="paragraph" w:styleId="660">
    <w:name w:val="Заголовок 1"/>
    <w:basedOn w:val="659"/>
    <w:next w:val="659"/>
    <w:link w:val="659"/>
    <w:qFormat/>
    <w:pPr>
      <w:numPr>
        <w:ilvl w:val="0"/>
        <w:numId w:val="1"/>
      </w:numPr>
      <w:jc w:val="right"/>
      <w:keepNext/>
      <w:outlineLvl w:val="0"/>
    </w:pPr>
    <w:rPr>
      <w:sz w:val="28"/>
    </w:rPr>
  </w:style>
  <w:style w:type="paragraph" w:styleId="661">
    <w:name w:val="Заголовок 2"/>
    <w:basedOn w:val="659"/>
    <w:next w:val="659"/>
    <w:link w:val="659"/>
    <w:qFormat/>
    <w:pPr>
      <w:numPr>
        <w:ilvl w:val="1"/>
        <w:numId w:val="1"/>
      </w:numPr>
      <w:jc w:val="center"/>
      <w:keepNext/>
      <w:outlineLvl w:val="1"/>
    </w:pPr>
    <w:rPr>
      <w:b/>
      <w:sz w:val="28"/>
    </w:rPr>
  </w:style>
  <w:style w:type="paragraph" w:styleId="662">
    <w:name w:val="Заголовок 3"/>
    <w:basedOn w:val="659"/>
    <w:next w:val="659"/>
    <w:link w:val="659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/>
      <w:sz w:val="24"/>
    </w:rPr>
  </w:style>
  <w:style w:type="paragraph" w:styleId="663">
    <w:name w:val="Заголовок 4"/>
    <w:basedOn w:val="659"/>
    <w:next w:val="659"/>
    <w:link w:val="659"/>
    <w:qFormat/>
    <w:pPr>
      <w:numPr>
        <w:ilvl w:val="3"/>
        <w:numId w:val="1"/>
      </w:num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664">
    <w:name w:val="Заголовок 5"/>
    <w:basedOn w:val="659"/>
    <w:next w:val="659"/>
    <w:link w:val="659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65">
    <w:name w:val="Заголовок 6"/>
    <w:basedOn w:val="659"/>
    <w:next w:val="659"/>
    <w:link w:val="65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666">
    <w:name w:val="Заголовок 7"/>
    <w:basedOn w:val="659"/>
    <w:next w:val="659"/>
    <w:link w:val="65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667">
    <w:name w:val="Заголовок 8"/>
    <w:basedOn w:val="659"/>
    <w:next w:val="659"/>
    <w:link w:val="65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668">
    <w:name w:val="Заголовок 9"/>
    <w:basedOn w:val="659"/>
    <w:next w:val="659"/>
    <w:link w:val="65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669">
    <w:name w:val="Основной шрифт абзаца"/>
    <w:next w:val="669"/>
    <w:link w:val="659"/>
    <w:uiPriority w:val="1"/>
    <w:unhideWhenUsed/>
  </w:style>
  <w:style w:type="table" w:styleId="670">
    <w:name w:val="Обычная таблица"/>
    <w:next w:val="670"/>
    <w:link w:val="659"/>
    <w:uiPriority w:val="99"/>
    <w:semiHidden/>
    <w:unhideWhenUsed/>
    <w:qFormat/>
    <w:tblPr/>
  </w:style>
  <w:style w:type="numbering" w:styleId="671">
    <w:name w:val="Нет списка"/>
    <w:next w:val="671"/>
    <w:link w:val="659"/>
    <w:uiPriority w:val="99"/>
    <w:semiHidden/>
    <w:unhideWhenUsed/>
  </w:style>
  <w:style w:type="paragraph" w:styleId="672">
    <w:name w:val="Основной текст с отступом"/>
    <w:basedOn w:val="659"/>
    <w:next w:val="672"/>
    <w:link w:val="684"/>
    <w:pPr>
      <w:ind w:left="720" w:hanging="720"/>
      <w:jc w:val="center"/>
    </w:pPr>
    <w:rPr>
      <w:sz w:val="28"/>
      <w:lang w:val="en-US" w:eastAsia="en-US"/>
    </w:rPr>
  </w:style>
  <w:style w:type="paragraph" w:styleId="673">
    <w:name w:val="Верхний колонтитул"/>
    <w:basedOn w:val="659"/>
    <w:next w:val="673"/>
    <w:link w:val="659"/>
    <w:pPr>
      <w:tabs>
        <w:tab w:val="center" w:pos="4153" w:leader="none"/>
        <w:tab w:val="right" w:pos="8306" w:leader="none"/>
      </w:tabs>
    </w:pPr>
  </w:style>
  <w:style w:type="character" w:styleId="674">
    <w:name w:val="Номер страницы"/>
    <w:basedOn w:val="669"/>
    <w:next w:val="674"/>
    <w:link w:val="659"/>
  </w:style>
  <w:style w:type="paragraph" w:styleId="675">
    <w:name w:val="Основной текст"/>
    <w:basedOn w:val="659"/>
    <w:next w:val="675"/>
    <w:link w:val="659"/>
    <w:rPr>
      <w:sz w:val="26"/>
    </w:rPr>
  </w:style>
  <w:style w:type="paragraph" w:styleId="676">
    <w:name w:val="Основной текст с отступом 2"/>
    <w:basedOn w:val="659"/>
    <w:next w:val="676"/>
    <w:link w:val="659"/>
    <w:pPr>
      <w:ind w:left="5040"/>
    </w:pPr>
    <w:rPr>
      <w:sz w:val="24"/>
    </w:rPr>
  </w:style>
  <w:style w:type="paragraph" w:styleId="677">
    <w:name w:val="Основной текст с отступом 3"/>
    <w:basedOn w:val="659"/>
    <w:next w:val="677"/>
    <w:link w:val="659"/>
    <w:pPr>
      <w:ind w:firstLine="709"/>
    </w:pPr>
    <w:rPr>
      <w:sz w:val="26"/>
    </w:rPr>
  </w:style>
  <w:style w:type="paragraph" w:styleId="678">
    <w:name w:val="Список определений"/>
    <w:basedOn w:val="659"/>
    <w:next w:val="659"/>
    <w:link w:val="659"/>
    <w:pPr>
      <w:ind w:left="360"/>
    </w:pPr>
    <w:rPr>
      <w:sz w:val="24"/>
    </w:rPr>
  </w:style>
  <w:style w:type="paragraph" w:styleId="679">
    <w:name w:val="Нижний колонтитул"/>
    <w:basedOn w:val="659"/>
    <w:next w:val="679"/>
    <w:link w:val="659"/>
    <w:pPr>
      <w:tabs>
        <w:tab w:val="center" w:pos="4677" w:leader="none"/>
        <w:tab w:val="right" w:pos="9355" w:leader="none"/>
      </w:tabs>
    </w:pPr>
  </w:style>
  <w:style w:type="table" w:styleId="680">
    <w:name w:val="Сетка таблицы"/>
    <w:basedOn w:val="670"/>
    <w:next w:val="680"/>
    <w:link w:val="659"/>
    <w:uiPriority w:val="59"/>
    <w:tblPr/>
  </w:style>
  <w:style w:type="paragraph" w:styleId="681">
    <w:name w:val="Знак Знак Знак Знак Знак Знак"/>
    <w:basedOn w:val="659"/>
    <w:next w:val="660"/>
    <w:link w:val="659"/>
    <w:pPr>
      <w:spacing w:after="160" w:line="240" w:lineRule="exact"/>
    </w:pPr>
    <w:rPr>
      <w:rFonts w:ascii="Verdana" w:hAnsi="Verdana"/>
      <w:lang w:val="en-US" w:eastAsia="en-US"/>
    </w:rPr>
  </w:style>
  <w:style w:type="paragraph" w:styleId="682">
    <w:name w:val="Основной текст 3"/>
    <w:basedOn w:val="659"/>
    <w:next w:val="682"/>
    <w:link w:val="683"/>
    <w:pPr>
      <w:spacing w:after="120"/>
    </w:pPr>
    <w:rPr>
      <w:sz w:val="16"/>
      <w:szCs w:val="16"/>
      <w:lang w:val="en-US" w:eastAsia="en-US"/>
    </w:rPr>
  </w:style>
  <w:style w:type="character" w:styleId="683">
    <w:name w:val="Основной текст 3 Знак"/>
    <w:next w:val="683"/>
    <w:link w:val="682"/>
    <w:rPr>
      <w:sz w:val="16"/>
      <w:szCs w:val="16"/>
    </w:rPr>
  </w:style>
  <w:style w:type="character" w:styleId="684">
    <w:name w:val="Основной текст с отступом Знак"/>
    <w:next w:val="684"/>
    <w:link w:val="672"/>
    <w:rPr>
      <w:sz w:val="28"/>
    </w:rPr>
  </w:style>
  <w:style w:type="paragraph" w:styleId="685">
    <w:name w:val="Абзац списка,Нумерованый список,List Paragraph1"/>
    <w:basedOn w:val="659"/>
    <w:next w:val="685"/>
    <w:link w:val="699"/>
    <w:uiPriority w:val="34"/>
    <w:qFormat/>
    <w:pPr>
      <w:contextualSpacing/>
      <w:ind w:left="720"/>
    </w:pPr>
  </w:style>
  <w:style w:type="paragraph" w:styleId="686">
    <w:name w:val="Body Text 21"/>
    <w:basedOn w:val="659"/>
    <w:next w:val="686"/>
    <w:link w:val="659"/>
    <w:pPr>
      <w:ind w:firstLine="709"/>
    </w:pPr>
    <w:rPr>
      <w:sz w:val="24"/>
    </w:rPr>
  </w:style>
  <w:style w:type="paragraph" w:styleId="687">
    <w:name w:val="Нумерованный список"/>
    <w:basedOn w:val="659"/>
    <w:next w:val="687"/>
    <w:link w:val="659"/>
    <w:pPr>
      <w:numPr>
        <w:ilvl w:val="0"/>
        <w:numId w:val="2"/>
      </w:numPr>
      <w:spacing w:before="60" w:line="360" w:lineRule="auto"/>
    </w:pPr>
    <w:rPr>
      <w:sz w:val="28"/>
      <w:szCs w:val="24"/>
    </w:rPr>
  </w:style>
  <w:style w:type="character" w:styleId="688">
    <w:name w:val="apple-style-span"/>
    <w:basedOn w:val="669"/>
    <w:next w:val="688"/>
    <w:link w:val="659"/>
  </w:style>
  <w:style w:type="character" w:styleId="689">
    <w:name w:val="Выделение"/>
    <w:next w:val="689"/>
    <w:link w:val="659"/>
    <w:qFormat/>
    <w:rPr>
      <w:i/>
      <w:iCs/>
    </w:rPr>
  </w:style>
  <w:style w:type="character" w:styleId="690">
    <w:name w:val="apple-converted-space"/>
    <w:basedOn w:val="669"/>
    <w:next w:val="690"/>
    <w:link w:val="659"/>
  </w:style>
  <w:style w:type="character" w:styleId="691">
    <w:name w:val="Font Style16"/>
    <w:next w:val="691"/>
    <w:link w:val="659"/>
    <w:uiPriority w:val="99"/>
    <w:rPr>
      <w:rFonts w:ascii="Times New Roman" w:hAnsi="Times New Roman" w:cs="Times New Roman"/>
      <w:sz w:val="22"/>
      <w:szCs w:val="22"/>
    </w:rPr>
  </w:style>
  <w:style w:type="paragraph" w:styleId="692">
    <w:name w:val="Обычный (веб)"/>
    <w:basedOn w:val="659"/>
    <w:next w:val="692"/>
    <w:link w:val="659"/>
    <w:uiPriority w:val="99"/>
    <w:unhideWhenUsed/>
    <w:pPr>
      <w:ind w:firstLine="0"/>
      <w:jc w:val="left"/>
      <w:spacing w:before="100" w:beforeAutospacing="1" w:after="100" w:afterAutospacing="1"/>
    </w:pPr>
    <w:rPr>
      <w:sz w:val="24"/>
      <w:szCs w:val="24"/>
    </w:rPr>
  </w:style>
  <w:style w:type="paragraph" w:styleId="693">
    <w:name w:val="Основной текст 21"/>
    <w:basedOn w:val="659"/>
    <w:next w:val="693"/>
    <w:link w:val="659"/>
    <w:pPr>
      <w:ind w:firstLine="709"/>
    </w:pPr>
    <w:rPr>
      <w:sz w:val="24"/>
    </w:rPr>
  </w:style>
  <w:style w:type="character" w:styleId="694">
    <w:name w:val="Строгий"/>
    <w:next w:val="694"/>
    <w:link w:val="659"/>
    <w:uiPriority w:val="22"/>
    <w:qFormat/>
    <w:rPr>
      <w:b/>
      <w:bCs/>
    </w:rPr>
  </w:style>
  <w:style w:type="character" w:styleId="695">
    <w:name w:val="Гиперссылка"/>
    <w:next w:val="695"/>
    <w:link w:val="659"/>
    <w:rPr>
      <w:color w:val="0000ff"/>
      <w:u w:val="single"/>
    </w:rPr>
  </w:style>
  <w:style w:type="character" w:styleId="696">
    <w:name w:val="Просмотренная гиперссылка"/>
    <w:next w:val="696"/>
    <w:link w:val="659"/>
    <w:rPr>
      <w:color w:val="800080"/>
      <w:u w:val="single"/>
    </w:rPr>
  </w:style>
  <w:style w:type="paragraph" w:styleId="697">
    <w:name w:val="Текст выноски"/>
    <w:basedOn w:val="659"/>
    <w:next w:val="697"/>
    <w:link w:val="698"/>
    <w:rPr>
      <w:rFonts w:ascii="Tahoma" w:hAnsi="Tahoma"/>
      <w:sz w:val="16"/>
      <w:szCs w:val="16"/>
      <w:lang w:val="en-US" w:eastAsia="en-US"/>
    </w:rPr>
  </w:style>
  <w:style w:type="character" w:styleId="698">
    <w:name w:val="Текст выноски Знак"/>
    <w:next w:val="698"/>
    <w:link w:val="697"/>
    <w:rPr>
      <w:rFonts w:ascii="Tahoma" w:hAnsi="Tahoma" w:cs="Tahoma"/>
      <w:sz w:val="16"/>
      <w:szCs w:val="16"/>
    </w:rPr>
  </w:style>
  <w:style w:type="character" w:styleId="699">
    <w:name w:val="Абзац списка Знак,Нумерованый список Знак,List Paragraph1 Знак"/>
    <w:next w:val="699"/>
    <w:link w:val="685"/>
    <w:uiPriority w:val="34"/>
  </w:style>
  <w:style w:type="character" w:styleId="1408" w:default="1">
    <w:name w:val="Default Paragraph Font"/>
    <w:uiPriority w:val="1"/>
    <w:semiHidden/>
    <w:unhideWhenUsed/>
  </w:style>
  <w:style w:type="numbering" w:styleId="1409" w:default="1">
    <w:name w:val="No List"/>
    <w:uiPriority w:val="99"/>
    <w:semiHidden/>
    <w:unhideWhenUsed/>
  </w:style>
  <w:style w:type="table" w:styleId="141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ОАО "НижЭСП"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revision>15</cp:revision>
  <dcterms:created xsi:type="dcterms:W3CDTF">2026-04-29T13:52:00Z</dcterms:created>
  <dcterms:modified xsi:type="dcterms:W3CDTF">2026-06-26T11:39:54Z</dcterms:modified>
  <cp:version>1048576</cp:version>
</cp:coreProperties>
</file>